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02DF9">
      <w:pPr>
        <w:pStyle w:val="2"/>
        <w:jc w:val="center"/>
        <w:rPr>
          <w:rFonts w:hint="eastAsia"/>
        </w:rPr>
      </w:pPr>
      <w:bookmarkStart w:id="0" w:name="_Toc28557"/>
      <w:r>
        <w:rPr>
          <w:rFonts w:hint="eastAsia"/>
        </w:rPr>
        <w:t>第五部分 用户需求书</w:t>
      </w:r>
      <w:bookmarkEnd w:id="0"/>
    </w:p>
    <w:p w14:paraId="0B53013B">
      <w:pPr>
        <w:autoSpaceDN w:val="0"/>
        <w:spacing w:line="360" w:lineRule="auto"/>
        <w:textAlignment w:val="center"/>
        <w:rPr>
          <w:rFonts w:ascii="宋体" w:hAnsi="宋体" w:cs="宋体"/>
          <w:b/>
          <w:sz w:val="24"/>
          <w:szCs w:val="24"/>
        </w:rPr>
      </w:pPr>
      <w:bookmarkStart w:id="1" w:name="_Toc35355746"/>
      <w:bookmarkStart w:id="2" w:name="_Toc381175077"/>
      <w:bookmarkStart w:id="3" w:name="_Toc378151512"/>
      <w:bookmarkStart w:id="4" w:name="_Toc378151517"/>
      <w:r>
        <w:rPr>
          <w:rFonts w:hint="eastAsia" w:ascii="宋体" w:hAnsi="宋体" w:cs="宋体"/>
          <w:b/>
          <w:sz w:val="24"/>
          <w:szCs w:val="24"/>
        </w:rPr>
        <w:t>一、</w:t>
      </w:r>
      <w:bookmarkEnd w:id="1"/>
      <w:bookmarkEnd w:id="2"/>
      <w:bookmarkEnd w:id="3"/>
      <w:r>
        <w:rPr>
          <w:rFonts w:hint="eastAsia" w:ascii="宋体" w:hAnsi="宋体" w:cs="宋体"/>
          <w:b/>
          <w:sz w:val="24"/>
          <w:szCs w:val="24"/>
        </w:rPr>
        <w:t>项目背景及情况</w:t>
      </w:r>
    </w:p>
    <w:p w14:paraId="04EB2C85">
      <w:pPr>
        <w:spacing w:line="360" w:lineRule="auto"/>
        <w:ind w:firstLine="420" w:firstLineChars="200"/>
        <w:rPr>
          <w:rFonts w:hint="eastAsia" w:ascii="宋体" w:hAnsi="宋体"/>
        </w:rPr>
      </w:pPr>
      <w:bookmarkStart w:id="5" w:name="_Toc381175078"/>
      <w:r>
        <w:rPr>
          <w:rFonts w:hint="eastAsia" w:ascii="宋体" w:hAnsi="宋体"/>
        </w:rPr>
        <w:t>数据治理是一项长期的系统工程，不仅关乎数据管理和应用，更是数字化建设的重要组成部分，需持续补齐组织、制度、机制、系统等方面的工作短板，不断完善数据治理体系，提升数据质量。</w:t>
      </w:r>
    </w:p>
    <w:p w14:paraId="14A953A8">
      <w:pPr>
        <w:spacing w:line="360" w:lineRule="auto"/>
        <w:ind w:firstLine="420" w:firstLineChars="200"/>
        <w:rPr>
          <w:rFonts w:hint="eastAsia" w:ascii="宋体" w:hAnsi="宋体"/>
        </w:rPr>
      </w:pPr>
      <w:r>
        <w:rPr>
          <w:rFonts w:hint="eastAsia" w:ascii="宋体" w:hAnsi="宋体"/>
        </w:rPr>
        <w:t>当前，国银金融租赁股份有限公司数据治理工作主要面临以下挑战：一是数据治理尚未进行体系性规划，短期目标不够清晰。二是数据资产盘点和分类分级覆盖面不够，目前公司数据资产分类分级工作主要覆盖公司反洗钱、乘用车、资金等重要系统，部分业务系统尚未开展分类分级，数据资产盘点全面性有待提升。同时，伴随公司业务发展，数据量不断增多，资产盘点及分类分级工作难以常态化开展。三是数据标准制定范围较为局限，目前仅围绕监管报送进行标准编制，数据标准未能完全覆盖公司重点业务条线数据。四是数据质量难以闭环管理，公司围绕组织、制度、流程、系统等方面补齐工作短板，定期开展数据质量专项检查工作，但缺少系统工具进行数据质量问题日常跟踪监测。五是数据治理缺乏专业系统支持，数据治理工作开展以来，缺乏有效的工具支持，手工工作效率低下，阶段性工作完成后，持续性得不到保障。</w:t>
      </w:r>
    </w:p>
    <w:p w14:paraId="61D45DB9">
      <w:pPr>
        <w:spacing w:line="360" w:lineRule="auto"/>
        <w:ind w:firstLine="420" w:firstLineChars="200"/>
        <w:rPr>
          <w:rFonts w:hint="eastAsia" w:ascii="宋体" w:hAnsi="宋体"/>
        </w:rPr>
      </w:pPr>
      <w:r>
        <w:rPr>
          <w:rFonts w:hint="eastAsia" w:ascii="宋体" w:hAnsi="宋体"/>
        </w:rPr>
        <w:t>国银金融租赁股份有限公司</w:t>
      </w:r>
      <w:r>
        <w:rPr>
          <w:rFonts w:hint="eastAsia" w:ascii="宋体" w:hAnsi="宋体"/>
          <w:b/>
          <w:bCs/>
          <w:color w:val="FF0000"/>
        </w:rPr>
        <w:t>拟选择一家熟悉ISO27001、ISO27005、COSO、ITIL、COBIT5等国际标准和最佳实践的服务商</w:t>
      </w:r>
      <w:r>
        <w:rPr>
          <w:rFonts w:hint="eastAsia" w:ascii="宋体" w:hAnsi="宋体"/>
        </w:rPr>
        <w:t>。在前期数据治理成果基础上，继续推进如下工作：完善数据治理顶层设计，制定数据治理战略规划，明确工作目标，扎实推进数据治理工作；扩展数据标准编制及数据安全分类分级范围，夯实数据标准、数据安全管理基础；建设数据治理管控平台，巩固数据质量、数据安全等工作成果，有效提升数据治理工作效率。</w:t>
      </w:r>
    </w:p>
    <w:p w14:paraId="09E6395C">
      <w:pPr>
        <w:spacing w:line="360" w:lineRule="auto"/>
        <w:ind w:firstLine="420" w:firstLineChars="200"/>
        <w:rPr>
          <w:rFonts w:hint="eastAsia" w:ascii="宋体" w:hAnsi="宋体"/>
          <w:szCs w:val="21"/>
        </w:rPr>
      </w:pPr>
    </w:p>
    <w:p w14:paraId="1CF46BAD">
      <w:pPr>
        <w:autoSpaceDN w:val="0"/>
        <w:spacing w:line="360" w:lineRule="auto"/>
        <w:textAlignment w:val="center"/>
        <w:rPr>
          <w:rFonts w:hint="eastAsia" w:ascii="宋体" w:hAnsi="宋体" w:cs="宋体"/>
          <w:b/>
          <w:sz w:val="24"/>
          <w:szCs w:val="24"/>
        </w:rPr>
      </w:pPr>
      <w:bookmarkStart w:id="6" w:name="_Toc35355747"/>
      <w:r>
        <w:rPr>
          <w:rFonts w:hint="eastAsia" w:ascii="宋体" w:hAnsi="宋体" w:cs="宋体"/>
          <w:b/>
          <w:sz w:val="24"/>
          <w:szCs w:val="24"/>
        </w:rPr>
        <w:t>二、项目技术要求</w:t>
      </w:r>
    </w:p>
    <w:bookmarkEnd w:id="6"/>
    <w:p w14:paraId="1730DAEE">
      <w:pPr>
        <w:spacing w:line="360" w:lineRule="auto"/>
        <w:ind w:firstLine="422" w:firstLineChars="200"/>
        <w:rPr>
          <w:rFonts w:ascii="宋体" w:hAnsi="宋体"/>
          <w:b/>
          <w:szCs w:val="21"/>
        </w:rPr>
      </w:pPr>
      <w:r>
        <w:rPr>
          <w:rFonts w:ascii="宋体" w:hAnsi="宋体"/>
          <w:b/>
          <w:szCs w:val="21"/>
        </w:rPr>
        <w:t>(一)</w:t>
      </w:r>
      <w:r>
        <w:rPr>
          <w:rFonts w:hint="eastAsia" w:ascii="宋体" w:hAnsi="宋体"/>
          <w:b/>
          <w:szCs w:val="21"/>
        </w:rPr>
        <w:t>工作目标</w:t>
      </w:r>
    </w:p>
    <w:p w14:paraId="5B0B4943">
      <w:pPr>
        <w:spacing w:line="360" w:lineRule="auto"/>
        <w:ind w:firstLine="420" w:firstLineChars="200"/>
        <w:rPr>
          <w:rFonts w:ascii="宋体" w:hAnsi="宋体"/>
          <w:szCs w:val="21"/>
        </w:rPr>
      </w:pPr>
      <w:r>
        <w:rPr>
          <w:rFonts w:hint="eastAsia" w:ascii="宋体" w:hAnsi="宋体"/>
          <w:szCs w:val="21"/>
        </w:rPr>
        <w:t>1.制定公司数据治理战略规划，为公司数据治理工作提供指导方向。</w:t>
      </w:r>
    </w:p>
    <w:p w14:paraId="3FE22228">
      <w:pPr>
        <w:spacing w:line="360" w:lineRule="auto"/>
        <w:ind w:firstLine="420" w:firstLineChars="200"/>
        <w:rPr>
          <w:rFonts w:ascii="宋体" w:hAnsi="宋体"/>
          <w:szCs w:val="21"/>
        </w:rPr>
      </w:pPr>
      <w:r>
        <w:rPr>
          <w:rFonts w:hint="eastAsia" w:ascii="宋体" w:hAnsi="宋体"/>
          <w:szCs w:val="21"/>
        </w:rPr>
        <w:t>2.要满足日常数据治理需求，巩固前期数据治理项目成果，进一步开展公司数据资产盘点及分类分级、 数据标准对标、数据标准制定、数据质量提升等数据治理日常工作。</w:t>
      </w:r>
    </w:p>
    <w:p w14:paraId="44D3DA64">
      <w:pPr>
        <w:spacing w:line="360" w:lineRule="auto"/>
        <w:ind w:firstLine="420" w:firstLineChars="200"/>
        <w:rPr>
          <w:rFonts w:ascii="宋体" w:hAnsi="宋体"/>
          <w:szCs w:val="21"/>
        </w:rPr>
      </w:pPr>
      <w:r>
        <w:rPr>
          <w:rFonts w:hint="eastAsia" w:ascii="宋体" w:hAnsi="宋体"/>
          <w:szCs w:val="21"/>
        </w:rPr>
        <w:t>3.引入数据治理管控平台，对当前数据治理工作成果进行落地并支撑数据治理工作日常开展，同时需考虑监管及公司发展规划，结合数据治理现状，充分发挥数据作为新型生产要素的潜力。</w:t>
      </w:r>
    </w:p>
    <w:p w14:paraId="6D66E401">
      <w:pPr>
        <w:spacing w:line="360" w:lineRule="auto"/>
        <w:ind w:firstLine="422" w:firstLineChars="200"/>
        <w:rPr>
          <w:rFonts w:ascii="宋体" w:hAnsi="宋体"/>
          <w:b/>
          <w:szCs w:val="21"/>
        </w:rPr>
      </w:pPr>
      <w:r>
        <w:rPr>
          <w:rFonts w:ascii="宋体" w:hAnsi="宋体"/>
          <w:b/>
          <w:szCs w:val="21"/>
        </w:rPr>
        <w:t>(二)</w:t>
      </w:r>
      <w:r>
        <w:rPr>
          <w:rFonts w:hint="eastAsia" w:ascii="宋体" w:hAnsi="宋体"/>
          <w:b/>
          <w:szCs w:val="21"/>
        </w:rPr>
        <w:t>工作内容及要求</w:t>
      </w:r>
    </w:p>
    <w:p w14:paraId="5E97A5F8">
      <w:pPr>
        <w:spacing w:line="360" w:lineRule="auto"/>
        <w:ind w:firstLine="412" w:firstLineChars="200"/>
        <w:rPr>
          <w:rFonts w:hint="eastAsia" w:ascii="宋体" w:hAnsi="宋体"/>
          <w:spacing w:val="-2"/>
        </w:rPr>
      </w:pPr>
      <w:r>
        <w:rPr>
          <w:rFonts w:hint="eastAsia" w:ascii="宋体" w:hAnsi="宋体"/>
          <w:spacing w:val="-2"/>
        </w:rPr>
        <w:t>1.制定公司数据治理战略规划</w:t>
      </w:r>
    </w:p>
    <w:p w14:paraId="7920403B">
      <w:pPr>
        <w:spacing w:line="360" w:lineRule="auto"/>
        <w:ind w:firstLine="412" w:firstLineChars="200"/>
        <w:rPr>
          <w:rFonts w:hint="eastAsia" w:ascii="宋体" w:hAnsi="宋体"/>
          <w:spacing w:val="-2"/>
        </w:rPr>
      </w:pPr>
      <w:r>
        <w:rPr>
          <w:rFonts w:hint="eastAsia" w:ascii="宋体" w:hAnsi="宋体"/>
          <w:spacing w:val="-2"/>
        </w:rPr>
        <w:t>调研公司现状，深入了解公司数据治理现状，明确公司数据治理战略目标，并结合公司、行业、市场情况，规划数据治理战略推进路径，形成公司未来两年数据治理战略规划，为后续的数据治理工作提供指导。</w:t>
      </w:r>
    </w:p>
    <w:p w14:paraId="4AA84011">
      <w:pPr>
        <w:spacing w:line="360" w:lineRule="auto"/>
        <w:ind w:firstLine="412" w:firstLineChars="200"/>
        <w:rPr>
          <w:rFonts w:hint="eastAsia" w:ascii="宋体" w:hAnsi="宋体"/>
          <w:spacing w:val="-2"/>
        </w:rPr>
      </w:pPr>
      <w:r>
        <w:rPr>
          <w:rFonts w:hint="eastAsia" w:ascii="宋体" w:hAnsi="宋体"/>
          <w:spacing w:val="-2"/>
        </w:rPr>
        <w:t>2.完善数据资产盘点及分类分级</w:t>
      </w:r>
    </w:p>
    <w:p w14:paraId="0AFA9B4E">
      <w:pPr>
        <w:spacing w:line="360" w:lineRule="auto"/>
        <w:ind w:firstLine="412" w:firstLineChars="200"/>
        <w:rPr>
          <w:rFonts w:hint="eastAsia" w:ascii="宋体" w:hAnsi="宋体"/>
          <w:spacing w:val="-2"/>
        </w:rPr>
      </w:pPr>
      <w:r>
        <w:rPr>
          <w:rFonts w:hint="eastAsia" w:ascii="宋体" w:hAnsi="宋体"/>
          <w:spacing w:val="-2"/>
        </w:rPr>
        <w:t>深入开展公司数据安全分类分级及数据资产盘点，在已经开展的数据安全项目的基础上，继续扩大数据安全分类分级及数据资产盘点的系统范围，形成公司全面的数据资产目录和数据安全定级清单。</w:t>
      </w:r>
    </w:p>
    <w:p w14:paraId="0DC64F60">
      <w:pPr>
        <w:spacing w:line="360" w:lineRule="auto"/>
        <w:ind w:firstLine="412" w:firstLineChars="200"/>
        <w:rPr>
          <w:rFonts w:hint="eastAsia" w:ascii="宋体" w:hAnsi="宋体"/>
          <w:spacing w:val="-2"/>
        </w:rPr>
      </w:pPr>
      <w:r>
        <w:rPr>
          <w:rFonts w:hint="eastAsia" w:ascii="宋体" w:hAnsi="宋体"/>
          <w:spacing w:val="-2"/>
        </w:rPr>
        <w:t>3.制定企业级数据标准</w:t>
      </w:r>
    </w:p>
    <w:p w14:paraId="00452848">
      <w:pPr>
        <w:spacing w:line="360" w:lineRule="auto"/>
        <w:ind w:firstLine="412" w:firstLineChars="200"/>
        <w:rPr>
          <w:rFonts w:hint="eastAsia" w:ascii="宋体" w:hAnsi="宋体"/>
          <w:spacing w:val="-2"/>
        </w:rPr>
      </w:pPr>
      <w:r>
        <w:rPr>
          <w:rFonts w:hint="eastAsia" w:ascii="宋体" w:hAnsi="宋体"/>
          <w:spacing w:val="-2"/>
        </w:rPr>
        <w:t>一是对数据标准管理现状进行梳理汇总，制定公司数据标准框架，确定数据标准制定原则，在公司发布的监管数据标准基础上，参照外部相关标准规范，建立起一套完整、统一、可执行的内部数据标准体系，对数据标准项进行业务属性、技术属性、管理属性方面的信息补充和完善，并结合年度系统建设情况及系统现状，逐步推进信息系统有序落标。二是根据现有数据标准管理制度，进一步明确数据标准组织和落标流程，确保落标工作有章可依。</w:t>
      </w:r>
    </w:p>
    <w:p w14:paraId="40902708">
      <w:pPr>
        <w:spacing w:line="360" w:lineRule="auto"/>
        <w:ind w:firstLine="412" w:firstLineChars="200"/>
        <w:rPr>
          <w:rFonts w:hint="eastAsia" w:ascii="宋体" w:hAnsi="宋体"/>
          <w:spacing w:val="-2"/>
        </w:rPr>
      </w:pPr>
      <w:r>
        <w:rPr>
          <w:rFonts w:hint="eastAsia" w:ascii="宋体" w:hAnsi="宋体"/>
          <w:spacing w:val="-2"/>
        </w:rPr>
        <w:t>4.搭建数据治理管控平台</w:t>
      </w:r>
    </w:p>
    <w:p w14:paraId="3C2DF515">
      <w:pPr>
        <w:spacing w:line="360" w:lineRule="auto"/>
        <w:ind w:firstLine="412" w:firstLineChars="200"/>
        <w:rPr>
          <w:rFonts w:hint="eastAsia" w:ascii="宋体" w:hAnsi="宋体"/>
          <w:spacing w:val="-2"/>
        </w:rPr>
      </w:pPr>
      <w:r>
        <w:rPr>
          <w:rFonts w:hint="eastAsia" w:ascii="宋体" w:hAnsi="宋体"/>
          <w:spacing w:val="-2"/>
        </w:rPr>
        <w:t>搭建数据治理管控平台，为数据治理工作提供技术支撑，保障数据治理成果有效落地。数据治理管控平台建设功能应至少包括数据标准管理、数据质量管理、元数据管理、数据安全管理和数据资产管理等模块。支持数据标准的线上维护、发布及版本管理；支持数据质量检核规则批量导入导出、规则调度布控、质量问题导出及分发跟踪等功能;通过人工服务与技术手段结合的模式，实现元数据的自动采集、元数据版本管理、元数据影响分析和血缘分析等功能，并配套制定元数据管理相关制定，同步完善公司元数据管理体系；结合数据安全分类分级及数据资产盘点成果，实现线上化数据安全级别智能推荐以及数据资产常态化更新，为公司数据资产全景信息查看和定位提供支撑。同时，平台应采用成熟的技术架构，能够快速响应业务变化，支持二次开发，灵活、快速将相关业务功能实施上线。</w:t>
      </w:r>
    </w:p>
    <w:p w14:paraId="048CCCD4">
      <w:pPr>
        <w:spacing w:line="360" w:lineRule="auto"/>
        <w:ind w:firstLine="412" w:firstLineChars="200"/>
        <w:rPr>
          <w:rFonts w:hint="eastAsia" w:ascii="宋体" w:hAnsi="宋体"/>
          <w:spacing w:val="-2"/>
        </w:rPr>
      </w:pPr>
      <w:r>
        <w:rPr>
          <w:rFonts w:hint="eastAsia" w:ascii="宋体" w:hAnsi="宋体"/>
          <w:spacing w:val="-2"/>
        </w:rPr>
        <w:t>5.数据治理落地实施</w:t>
      </w:r>
    </w:p>
    <w:p w14:paraId="55E37867">
      <w:pPr>
        <w:spacing w:line="360" w:lineRule="auto"/>
        <w:ind w:firstLine="412" w:firstLineChars="200"/>
        <w:rPr>
          <w:rFonts w:hint="eastAsia" w:ascii="宋体" w:hAnsi="宋体"/>
          <w:spacing w:val="-2"/>
        </w:rPr>
      </w:pPr>
      <w:r>
        <w:rPr>
          <w:rFonts w:hint="eastAsia" w:ascii="宋体" w:hAnsi="宋体"/>
          <w:spacing w:val="-2"/>
        </w:rPr>
        <w:t>运用数据治理管控平台功能，有效衔接公司数据治理工作成果，促进相关内容在系统落地，主要包含：一是推动数据标准相关成果落地，完成公司全量数据标准展示、检索、维护，形成长效的跟踪检查机制；二是对数据质量检核规则结果布控，并通过自动化检核作业，收集、分析和评估各系统数据质量问题，形成通知反馈机制，支持后续公司数据质量的持续改进，实现数据质量工作闭环管理；三是对接公司相关系统，完成元数据自动抽取，发现元数据质量问题，推动系统补充完善；四是基于数据资产盘点结果，完成数据资产分类分级与数据资产目录展示。</w:t>
      </w:r>
    </w:p>
    <w:p w14:paraId="70ED3E4E">
      <w:pPr>
        <w:spacing w:line="360" w:lineRule="auto"/>
        <w:ind w:firstLine="412" w:firstLineChars="200"/>
        <w:rPr>
          <w:rFonts w:hint="eastAsia" w:ascii="宋体" w:hAnsi="宋体"/>
          <w:spacing w:val="-2"/>
        </w:rPr>
      </w:pPr>
      <w:r>
        <w:rPr>
          <w:rFonts w:hint="eastAsia" w:ascii="宋体" w:hAnsi="宋体"/>
          <w:spacing w:val="-2"/>
        </w:rPr>
        <w:t>6.开展监管数据标准对标</w:t>
      </w:r>
    </w:p>
    <w:p w14:paraId="150A7AA2">
      <w:pPr>
        <w:spacing w:line="360" w:lineRule="auto"/>
        <w:ind w:firstLine="412" w:firstLineChars="200"/>
        <w:rPr>
          <w:rFonts w:ascii="宋体" w:hAnsi="宋体"/>
          <w:b/>
          <w:sz w:val="24"/>
          <w:szCs w:val="24"/>
        </w:rPr>
      </w:pPr>
      <w:r>
        <w:rPr>
          <w:rFonts w:hint="eastAsia" w:ascii="宋体" w:hAnsi="宋体"/>
          <w:spacing w:val="-2"/>
        </w:rPr>
        <w:t>运用数据治理管控平台功能，根据数仓落标现状调研结果制定提出落标改进建议。针对数仓落标现状与公司现有监管数据标准之间的差异，出具现状调研分析报告，并结合数据仓库改进工作的复杂度，以及数据共享、数据服务等实际数据使用情况，提出具体的且切实可行的落标改进建议，且建议应明确具体的落标优化、改进事项等，并编制出一份明确的落标改进建议。</w:t>
      </w:r>
      <w:bookmarkEnd w:id="4"/>
      <w:bookmarkEnd w:id="5"/>
    </w:p>
    <w:p w14:paraId="570C4914">
      <w:pPr>
        <w:spacing w:line="360" w:lineRule="auto"/>
        <w:textAlignment w:val="center"/>
        <w:rPr>
          <w:rFonts w:hint="eastAsia" w:ascii="宋体" w:hAnsi="宋体"/>
          <w:b/>
          <w:sz w:val="24"/>
          <w:szCs w:val="24"/>
        </w:rPr>
      </w:pPr>
    </w:p>
    <w:p w14:paraId="0BF61A29">
      <w:pPr>
        <w:numPr>
          <w:ilvl w:val="0"/>
          <w:numId w:val="1"/>
        </w:numPr>
        <w:spacing w:line="360" w:lineRule="auto"/>
        <w:textAlignment w:val="center"/>
        <w:rPr>
          <w:rFonts w:hint="eastAsia" w:ascii="宋体" w:hAnsi="宋体" w:cs="宋体"/>
          <w:sz w:val="24"/>
          <w:szCs w:val="24"/>
        </w:rPr>
      </w:pPr>
      <w:r>
        <w:rPr>
          <w:rFonts w:hint="eastAsia" w:ascii="宋体" w:hAnsi="宋体"/>
          <w:b/>
          <w:sz w:val="24"/>
          <w:szCs w:val="24"/>
        </w:rPr>
        <w:t>服务期</w:t>
      </w:r>
    </w:p>
    <w:p w14:paraId="7EF77873">
      <w:pPr>
        <w:spacing w:line="360" w:lineRule="auto"/>
        <w:ind w:firstLine="495"/>
        <w:textAlignment w:val="center"/>
        <w:rPr>
          <w:rFonts w:hint="eastAsia" w:ascii="宋体" w:hAnsi="宋体"/>
          <w:b/>
          <w:sz w:val="24"/>
          <w:szCs w:val="24"/>
        </w:rPr>
      </w:pPr>
      <w:r>
        <w:rPr>
          <w:rFonts w:hint="eastAsia" w:ascii="宋体" w:hAnsi="宋体"/>
          <w:color w:val="FF0000"/>
          <w:szCs w:val="21"/>
        </w:rPr>
        <w:t>2024年</w:t>
      </w:r>
      <w:r>
        <w:rPr>
          <w:rFonts w:ascii="宋体" w:hAnsi="宋体"/>
          <w:color w:val="FF0000"/>
          <w:szCs w:val="21"/>
        </w:rPr>
        <w:t>10</w:t>
      </w:r>
      <w:r>
        <w:rPr>
          <w:rFonts w:hint="eastAsia" w:ascii="宋体" w:hAnsi="宋体"/>
          <w:color w:val="FF0000"/>
          <w:szCs w:val="21"/>
        </w:rPr>
        <w:t>月份启动。</w:t>
      </w:r>
    </w:p>
    <w:p w14:paraId="665BCD9D">
      <w:pPr>
        <w:spacing w:line="360" w:lineRule="auto"/>
        <w:textAlignment w:val="center"/>
        <w:rPr>
          <w:rFonts w:hint="eastAsia" w:ascii="宋体" w:hAnsi="宋体"/>
          <w:b/>
          <w:sz w:val="24"/>
          <w:szCs w:val="24"/>
        </w:rPr>
      </w:pPr>
    </w:p>
    <w:p w14:paraId="7A6230D1">
      <w:pPr>
        <w:spacing w:line="360" w:lineRule="auto"/>
        <w:textAlignment w:val="center"/>
        <w:rPr>
          <w:rFonts w:hint="eastAsia" w:ascii="宋体" w:hAnsi="宋体"/>
          <w:b/>
          <w:sz w:val="24"/>
          <w:szCs w:val="24"/>
        </w:rPr>
      </w:pPr>
      <w:r>
        <w:rPr>
          <w:rFonts w:hint="eastAsia" w:ascii="宋体" w:hAnsi="宋体"/>
          <w:b/>
          <w:sz w:val="24"/>
          <w:szCs w:val="24"/>
        </w:rPr>
        <w:t>四、付款方式</w:t>
      </w:r>
    </w:p>
    <w:p w14:paraId="2F446149">
      <w:pPr>
        <w:spacing w:line="360" w:lineRule="auto"/>
        <w:ind w:firstLine="420" w:firstLineChars="200"/>
        <w:rPr>
          <w:rFonts w:hint="eastAsia" w:ascii="宋体" w:hAnsi="宋体"/>
          <w:b/>
          <w:sz w:val="24"/>
          <w:szCs w:val="24"/>
        </w:rPr>
      </w:pPr>
      <w:r>
        <w:rPr>
          <w:rFonts w:hint="eastAsia" w:ascii="宋体" w:hAnsi="宋体"/>
          <w:szCs w:val="21"/>
        </w:rPr>
        <w:t>按照国银金融租赁股份有限公司相关规定执行。中标人须提供相应的增值税专用发票。</w:t>
      </w:r>
    </w:p>
    <w:p w14:paraId="0C706F7B">
      <w:pPr>
        <w:spacing w:line="360" w:lineRule="auto"/>
        <w:textAlignment w:val="center"/>
        <w:rPr>
          <w:rFonts w:hint="eastAsia" w:ascii="宋体" w:hAnsi="宋体"/>
          <w:szCs w:val="21"/>
        </w:rPr>
      </w:pPr>
      <w:r>
        <w:rPr>
          <w:rFonts w:hint="eastAsia" w:ascii="宋体" w:hAnsi="宋体"/>
          <w:b/>
          <w:sz w:val="24"/>
          <w:szCs w:val="24"/>
        </w:rPr>
        <w:t>五、注意事项</w:t>
      </w:r>
    </w:p>
    <w:p w14:paraId="467DD1DD">
      <w:pPr>
        <w:spacing w:line="360" w:lineRule="auto"/>
        <w:ind w:firstLine="420" w:firstLineChars="200"/>
        <w:rPr>
          <w:rFonts w:hint="eastAsia" w:ascii="宋体" w:hAnsi="宋体"/>
          <w:szCs w:val="21"/>
        </w:rPr>
      </w:pPr>
      <w:r>
        <w:rPr>
          <w:rFonts w:hint="eastAsia"/>
          <w:szCs w:val="21"/>
        </w:rPr>
        <w:t>1</w:t>
      </w:r>
      <w:r>
        <w:rPr>
          <w:rFonts w:hint="eastAsia" w:ascii="宋体" w:hAnsi="宋体"/>
          <w:szCs w:val="21"/>
        </w:rPr>
        <w:t>、中标人不得将项目非法分包或转包给任何单位和个人。否则，</w:t>
      </w:r>
      <w:r>
        <w:rPr>
          <w:rFonts w:hint="eastAsia" w:ascii="宋体" w:hAnsi="宋体"/>
        </w:rPr>
        <w:t>国银金融租赁股份有限公司</w:t>
      </w:r>
      <w:r>
        <w:rPr>
          <w:rFonts w:hint="eastAsia" w:ascii="宋体" w:hAnsi="宋体"/>
          <w:szCs w:val="21"/>
        </w:rPr>
        <w:t>有权即刻终止合同，并要求中标人赔偿相应损失。</w:t>
      </w:r>
    </w:p>
    <w:p w14:paraId="4C0A0A6C">
      <w:pPr>
        <w:spacing w:line="360" w:lineRule="auto"/>
        <w:ind w:firstLine="420" w:firstLineChars="200"/>
        <w:rPr>
          <w:rFonts w:hint="eastAsia" w:ascii="宋体" w:hAnsi="宋体"/>
          <w:szCs w:val="21"/>
        </w:rPr>
      </w:pPr>
      <w:r>
        <w:rPr>
          <w:rFonts w:hint="eastAsia"/>
          <w:szCs w:val="21"/>
        </w:rPr>
        <w:t>2</w:t>
      </w:r>
      <w:r>
        <w:rPr>
          <w:rFonts w:hint="eastAsia" w:ascii="宋体" w:hAnsi="宋体"/>
          <w:szCs w:val="21"/>
        </w:rPr>
        <w:t>、投标人若认为招标文件的技术要求或其他要求有倾向性或不公正性，可在招标答疑阶段提出，以维护招标行为的公平、公正。</w:t>
      </w:r>
    </w:p>
    <w:p w14:paraId="53AAF159">
      <w:pPr>
        <w:spacing w:line="360" w:lineRule="auto"/>
        <w:ind w:firstLine="420" w:firstLineChars="200"/>
        <w:rPr>
          <w:rFonts w:hint="eastAsia" w:ascii="宋体" w:hAnsi="宋体"/>
          <w:szCs w:val="21"/>
        </w:rPr>
      </w:pPr>
      <w:r>
        <w:rPr>
          <w:rFonts w:hint="eastAsia"/>
          <w:szCs w:val="21"/>
        </w:rPr>
        <w:t>3</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14:paraId="23495537">
      <w:pPr>
        <w:spacing w:line="360" w:lineRule="auto"/>
        <w:ind w:firstLine="420" w:firstLineChars="200"/>
        <w:rPr>
          <w:rFonts w:hint="eastAsia" w:ascii="宋体" w:hAnsi="宋体"/>
          <w:szCs w:val="21"/>
        </w:rPr>
      </w:pPr>
      <w:r>
        <w:rPr>
          <w:rFonts w:hint="eastAsia"/>
          <w:szCs w:val="21"/>
        </w:rPr>
        <w:t>4</w:t>
      </w:r>
      <w:r>
        <w:rPr>
          <w:rFonts w:hint="eastAsia" w:ascii="宋体" w:hAnsi="宋体"/>
          <w:szCs w:val="21"/>
        </w:rPr>
        <w:t>、信息需严格保密，违者将承担法律责任。</w:t>
      </w:r>
    </w:p>
    <w:p w14:paraId="1DA524C9">
      <w:pPr>
        <w:spacing w:line="360" w:lineRule="auto"/>
        <w:rPr>
          <w:rFonts w:hint="eastAsia" w:ascii="宋体" w:hAnsi="宋体"/>
          <w:szCs w:val="21"/>
        </w:rPr>
      </w:pPr>
    </w:p>
    <w:p w14:paraId="01A6318B">
      <w:pPr>
        <w:spacing w:line="360" w:lineRule="auto"/>
        <w:rPr>
          <w:rFonts w:hint="eastAsia" w:ascii="宋体" w:hAnsi="宋体"/>
          <w:szCs w:val="21"/>
        </w:rPr>
      </w:pPr>
      <w:r>
        <w:rPr>
          <w:rFonts w:hint="eastAsia" w:ascii="宋体" w:hAnsi="宋体"/>
          <w:b/>
          <w:sz w:val="24"/>
          <w:szCs w:val="24"/>
        </w:rPr>
        <w:t>六、项目报价注意事项</w:t>
      </w:r>
    </w:p>
    <w:p w14:paraId="6BBC92B0">
      <w:pPr>
        <w:spacing w:line="360" w:lineRule="auto"/>
        <w:ind w:firstLine="420" w:firstLineChars="200"/>
        <w:rPr>
          <w:rFonts w:hint="eastAsia" w:ascii="宋体" w:hAnsi="宋体"/>
          <w:szCs w:val="21"/>
        </w:rPr>
      </w:pPr>
      <w:r>
        <w:rPr>
          <w:rFonts w:hint="eastAsia"/>
          <w:szCs w:val="21"/>
        </w:rPr>
        <w:t>1</w:t>
      </w:r>
      <w:r>
        <w:rPr>
          <w:rFonts w:hint="eastAsia" w:ascii="宋体" w:hAnsi="宋体"/>
          <w:szCs w:val="21"/>
        </w:rPr>
        <w:t>、投标人应根据本企业的成本自行决定报价，但不得以低于其企业成本的报价投标；投标人报价必须充分考虑到管理服务要求和特点，以及服务的各种管理因素和环境条件，在服务期限内，因法律、行政法规、国家法令、地方政府的政策规章发生变化，汇率变化、物价上涨或通货膨胀而引起费用的增加，在合同期内服务费将不予调整，且中标人的报价包括入场的各项费用，本项目不再为此增加任何费用；投标人在资源配置方面必须满足现有服务需求，并能够保持持续性改进提升的投入能力。</w:t>
      </w:r>
    </w:p>
    <w:p w14:paraId="5336EDC5">
      <w:pPr>
        <w:spacing w:line="360" w:lineRule="auto"/>
        <w:ind w:firstLine="420" w:firstLineChars="200"/>
        <w:rPr>
          <w:rFonts w:hint="eastAsia" w:ascii="宋体" w:hAnsi="宋体"/>
          <w:szCs w:val="21"/>
        </w:rPr>
      </w:pPr>
      <w:r>
        <w:rPr>
          <w:rFonts w:hint="eastAsia"/>
          <w:szCs w:val="21"/>
        </w:rPr>
        <w:t>2</w:t>
      </w:r>
      <w:r>
        <w:rPr>
          <w:rFonts w:hint="eastAsia" w:ascii="宋体" w:hAnsi="宋体"/>
          <w:szCs w:val="21"/>
        </w:rPr>
        <w:t>、投标人的投标报价不得超过投标限价。</w:t>
      </w:r>
    </w:p>
    <w:p w14:paraId="37DEFC95">
      <w:pPr>
        <w:spacing w:line="360" w:lineRule="auto"/>
        <w:ind w:firstLine="420" w:firstLineChars="200"/>
        <w:rPr>
          <w:rFonts w:hint="eastAsia" w:ascii="宋体" w:hAnsi="宋体"/>
          <w:szCs w:val="21"/>
        </w:rPr>
      </w:pPr>
      <w:r>
        <w:rPr>
          <w:rFonts w:hint="eastAsia"/>
          <w:szCs w:val="21"/>
        </w:rPr>
        <w:t>3</w:t>
      </w:r>
      <w:r>
        <w:rPr>
          <w:rFonts w:hint="eastAsia" w:ascii="宋体" w:hAnsi="宋体"/>
          <w:szCs w:val="21"/>
        </w:rPr>
        <w:t>、投标人的投标报价，应是本项目招标范围和招标文件及合同条款上所列的各项内容中所述的全部，不得以任何理由予以重复，并以投标人在招标文件中提出的综合单价或总价为依据。</w:t>
      </w:r>
    </w:p>
    <w:p w14:paraId="3EE144DE">
      <w:pPr>
        <w:spacing w:line="360" w:lineRule="auto"/>
        <w:ind w:firstLine="420" w:firstLineChars="200"/>
        <w:rPr>
          <w:rFonts w:hint="eastAsia" w:ascii="宋体" w:hAnsi="宋体"/>
          <w:szCs w:val="21"/>
        </w:rPr>
      </w:pPr>
      <w:r>
        <w:rPr>
          <w:rFonts w:hint="eastAsia"/>
          <w:szCs w:val="21"/>
        </w:rPr>
        <w:t>4</w:t>
      </w:r>
      <w:r>
        <w:rPr>
          <w:rFonts w:hint="eastAsia" w:ascii="宋体" w:hAnsi="宋体"/>
          <w:szCs w:val="21"/>
        </w:rPr>
        <w:t>、中标人根据有关管理法规与国银金融租赁股份有限公司签订服务合同，对相关服务实行统一管理，综合服务，自主经营，自负盈亏。</w:t>
      </w:r>
    </w:p>
    <w:p w14:paraId="2A996015">
      <w:pPr>
        <w:spacing w:line="360" w:lineRule="auto"/>
        <w:ind w:firstLine="495"/>
        <w:textAlignment w:val="center"/>
        <w:rPr>
          <w:rFonts w:hint="eastAsia" w:ascii="宋体" w:hAnsi="宋体"/>
          <w:szCs w:val="21"/>
        </w:rPr>
      </w:pPr>
      <w:r>
        <w:rPr>
          <w:rFonts w:hint="eastAsia"/>
          <w:szCs w:val="21"/>
        </w:rPr>
        <w:t>5</w:t>
      </w:r>
      <w:r>
        <w:rPr>
          <w:rFonts w:hint="eastAsia" w:ascii="宋体" w:hAnsi="宋体"/>
          <w:szCs w:val="21"/>
        </w:rPr>
        <w:t>、如根据合同签署之日的实际情况，上述报价所涵盖的服务内容需进行调整，应以合同签署时约定的服务内容为准；</w:t>
      </w:r>
    </w:p>
    <w:p w14:paraId="381F8599">
      <w:pPr>
        <w:spacing w:line="360" w:lineRule="auto"/>
        <w:ind w:firstLine="495"/>
        <w:textAlignment w:val="center"/>
        <w:rPr>
          <w:rFonts w:hint="eastAsia" w:ascii="宋体" w:hAnsi="宋体"/>
          <w:szCs w:val="21"/>
        </w:rPr>
      </w:pPr>
      <w:r>
        <w:rPr>
          <w:rFonts w:hint="eastAsia"/>
          <w:szCs w:val="21"/>
        </w:rPr>
        <w:t>6</w:t>
      </w:r>
      <w:r>
        <w:rPr>
          <w:rFonts w:hint="eastAsia" w:ascii="宋体" w:hAnsi="宋体"/>
          <w:szCs w:val="21"/>
        </w:rPr>
        <w:t>、因延迟未能保证在服务周期内完成服务时，可以同等商务条款续约；</w:t>
      </w:r>
    </w:p>
    <w:p w14:paraId="7CCB5C92">
      <w:pPr>
        <w:spacing w:line="360" w:lineRule="auto"/>
        <w:ind w:firstLine="495"/>
        <w:textAlignment w:val="center"/>
        <w:rPr>
          <w:rFonts w:hint="eastAsia" w:ascii="宋体" w:hAnsi="宋体"/>
          <w:szCs w:val="21"/>
        </w:rPr>
      </w:pPr>
      <w:r>
        <w:rPr>
          <w:rFonts w:hint="eastAsia"/>
          <w:szCs w:val="21"/>
        </w:rPr>
        <w:t>7</w:t>
      </w:r>
      <w:r>
        <w:rPr>
          <w:rFonts w:hint="eastAsia" w:ascii="宋体" w:hAnsi="宋体"/>
          <w:szCs w:val="21"/>
        </w:rPr>
        <w:t>、投标人应保证本项目得到优先的资源配置和项目处理，不因投标人同一时期操办项目的数量及其他外界因素而延误。</w:t>
      </w:r>
    </w:p>
    <w:p w14:paraId="0373875E">
      <w:pPr>
        <w:spacing w:line="360" w:lineRule="auto"/>
        <w:ind w:firstLine="420" w:firstLineChars="200"/>
        <w:rPr>
          <w:rFonts w:hint="eastAsia" w:ascii="宋体" w:hAnsi="宋体"/>
          <w:szCs w:val="21"/>
        </w:rPr>
      </w:pPr>
      <w:r>
        <w:rPr>
          <w:rFonts w:hint="eastAsia"/>
          <w:szCs w:val="21"/>
        </w:rPr>
        <w:t>8</w:t>
      </w:r>
      <w:r>
        <w:rPr>
          <w:rFonts w:hint="eastAsia" w:ascii="宋体" w:hAnsi="宋体"/>
          <w:szCs w:val="21"/>
        </w:rPr>
        <w:t>、本项目投标限价总金额为：</w:t>
      </w:r>
    </w:p>
    <w:p w14:paraId="17E2ACD7">
      <w:pPr>
        <w:spacing w:line="276" w:lineRule="auto"/>
        <w:ind w:firstLine="422" w:firstLineChars="200"/>
        <w:rPr>
          <w:rFonts w:ascii="宋体" w:hAnsi="宋体"/>
          <w:b/>
          <w:sz w:val="24"/>
          <w:szCs w:val="24"/>
        </w:rPr>
      </w:pPr>
      <w:r>
        <w:rPr>
          <w:rFonts w:hint="eastAsia" w:ascii="宋体" w:hAnsi="宋体"/>
          <w:b/>
          <w:bCs/>
          <w:kern w:val="0"/>
          <w:szCs w:val="21"/>
        </w:rPr>
        <w:t>人民币伍佰万元整（</w:t>
      </w:r>
      <w:r>
        <w:rPr>
          <w:rFonts w:hint="eastAsia"/>
          <w:b/>
          <w:bCs/>
          <w:kern w:val="0"/>
          <w:szCs w:val="21"/>
        </w:rPr>
        <w:t>￥5,00</w:t>
      </w:r>
      <w:r>
        <w:rPr>
          <w:b/>
          <w:bCs/>
          <w:kern w:val="0"/>
          <w:szCs w:val="21"/>
        </w:rPr>
        <w:t>0</w:t>
      </w:r>
      <w:r>
        <w:rPr>
          <w:rFonts w:hint="eastAsia" w:ascii="宋体" w:hAnsi="宋体"/>
          <w:b/>
          <w:bCs/>
          <w:kern w:val="0"/>
          <w:szCs w:val="21"/>
        </w:rPr>
        <w:t>,</w:t>
      </w:r>
      <w:r>
        <w:rPr>
          <w:rFonts w:hint="eastAsia"/>
          <w:b/>
          <w:bCs/>
          <w:kern w:val="0"/>
          <w:szCs w:val="21"/>
        </w:rPr>
        <w:t>000</w:t>
      </w:r>
      <w:r>
        <w:rPr>
          <w:rFonts w:hint="eastAsia" w:ascii="宋体" w:hAnsi="宋体"/>
          <w:b/>
          <w:bCs/>
          <w:kern w:val="0"/>
          <w:szCs w:val="21"/>
        </w:rPr>
        <w:t>.</w:t>
      </w:r>
      <w:r>
        <w:rPr>
          <w:rFonts w:hint="eastAsia"/>
          <w:b/>
          <w:bCs/>
          <w:kern w:val="0"/>
          <w:szCs w:val="21"/>
        </w:rPr>
        <w:t>00</w:t>
      </w:r>
      <w:r>
        <w:rPr>
          <w:rFonts w:hint="eastAsia" w:ascii="宋体" w:hAnsi="宋体"/>
          <w:b/>
          <w:bCs/>
          <w:kern w:val="0"/>
          <w:szCs w:val="21"/>
        </w:rPr>
        <w:t>）（含税），</w:t>
      </w:r>
      <w:r>
        <w:rPr>
          <w:rFonts w:hint="eastAsia" w:ascii="宋体" w:hAnsi="宋体"/>
          <w:b/>
          <w:bCs/>
          <w:szCs w:val="21"/>
        </w:rPr>
        <w:t>投标报价不能超过最高限价。超过本投标限价总金额的投标报价将作废标处理。</w:t>
      </w:r>
    </w:p>
    <w:p w14:paraId="1809BB47">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BDF0A"/>
    <w:multiLevelType w:val="singleLevel"/>
    <w:tmpl w:val="410BDF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YzOWNiYTBhZDY3ZWU3MjdjMTFmOGFlMjBkMmMifQ=="/>
  </w:docVars>
  <w:rsids>
    <w:rsidRoot w:val="32990D72"/>
    <w:rsid w:val="3299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qFormat/>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2024-09-03T06:59:00Z</dcterms:created>
  <dc:creator>WPS_1664272747</dc:creator>
  <cp:lastModifiedBy>WPS_1664272747</cp:lastModifiedBy>
  <dcterms:modified xsi:type="dcterms:W3CDTF">2024-09-03T07:00:13Z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46E9126E59224994A81C4B5152459693_11</vt:lpwstr>
  </property>
</Properties>
</file>